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335"/>
      </w:tblGrid>
      <w:tr w:rsidR="00CA41F3" w:rsidRPr="00115208" w:rsidTr="00E169CD">
        <w:trPr>
          <w:jc w:val="center"/>
        </w:trPr>
        <w:tc>
          <w:tcPr>
            <w:tcW w:w="9350" w:type="dxa"/>
            <w:gridSpan w:val="2"/>
            <w:shd w:val="clear" w:color="auto" w:fill="E36C0A" w:themeFill="accent6" w:themeFillShade="BF"/>
          </w:tcPr>
          <w:p w:rsidR="00CA41F3" w:rsidRPr="00115208" w:rsidRDefault="00DA3436" w:rsidP="00CA41F3">
            <w:pPr>
              <w:pStyle w:val="ListParagraph"/>
              <w:numPr>
                <w:ilvl w:val="0"/>
                <w:numId w:val="4"/>
              </w:numPr>
              <w:spacing w:after="0" w:line="240" w:lineRule="auto"/>
              <w:jc w:val="center"/>
              <w:rPr>
                <w:rFonts w:ascii="Arial Narrow" w:hAnsi="Arial Narrow"/>
                <w:b/>
                <w:color w:val="FFFFFF" w:themeColor="background1"/>
                <w:sz w:val="24"/>
                <w:szCs w:val="18"/>
                <w:lang w:val="fr-FR"/>
              </w:rPr>
            </w:pPr>
            <w:r w:rsidRPr="00115208">
              <w:rPr>
                <w:rFonts w:ascii="Arial Narrow" w:hAnsi="Arial Narrow"/>
                <w:b/>
                <w:color w:val="FFFFFF" w:themeColor="background1"/>
                <w:sz w:val="24"/>
                <w:szCs w:val="18"/>
                <w:lang w:val="fr-FR"/>
              </w:rPr>
              <w:t>PROJET D’</w:t>
            </w:r>
            <w:r w:rsidR="00094BCB" w:rsidRPr="00115208">
              <w:rPr>
                <w:rFonts w:ascii="Arial Narrow" w:hAnsi="Arial Narrow"/>
                <w:b/>
                <w:color w:val="FFFFFF" w:themeColor="background1"/>
                <w:sz w:val="24"/>
                <w:szCs w:val="18"/>
                <w:lang w:val="fr-FR"/>
              </w:rPr>
              <w:t>APPUI AU CYCLE ELECTORAL EN HAITI</w:t>
            </w:r>
            <w:r w:rsidR="00A11F07" w:rsidRPr="00115208">
              <w:rPr>
                <w:rFonts w:ascii="Arial Narrow" w:hAnsi="Arial Narrow"/>
                <w:b/>
                <w:color w:val="FFFFFF" w:themeColor="background1"/>
                <w:sz w:val="24"/>
                <w:szCs w:val="18"/>
                <w:lang w:val="fr-FR"/>
              </w:rPr>
              <w:t xml:space="preserve"> – EN COURS</w:t>
            </w:r>
          </w:p>
        </w:tc>
      </w:tr>
      <w:tr w:rsidR="00115208" w:rsidRPr="00115208" w:rsidTr="00115208">
        <w:trPr>
          <w:trHeight w:val="395"/>
          <w:jc w:val="center"/>
        </w:trPr>
        <w:tc>
          <w:tcPr>
            <w:tcW w:w="2020" w:type="dxa"/>
          </w:tcPr>
          <w:p w:rsidR="00115208" w:rsidRPr="00115208" w:rsidRDefault="00115208" w:rsidP="00E169CD">
            <w:pPr>
              <w:spacing w:after="0" w:line="240" w:lineRule="auto"/>
              <w:rPr>
                <w:rFonts w:ascii="Arial Narrow" w:hAnsi="Arial Narrow"/>
                <w:b/>
                <w:szCs w:val="18"/>
                <w:lang w:val="fr-FR"/>
              </w:rPr>
            </w:pPr>
            <w:r w:rsidRPr="00115208">
              <w:rPr>
                <w:rFonts w:ascii="Arial Narrow" w:hAnsi="Arial Narrow"/>
                <w:b/>
                <w:szCs w:val="18"/>
                <w:lang w:val="fr-FR"/>
              </w:rPr>
              <w:t>MONTANT</w:t>
            </w:r>
          </w:p>
        </w:tc>
        <w:tc>
          <w:tcPr>
            <w:tcW w:w="7335" w:type="dxa"/>
          </w:tcPr>
          <w:p w:rsidR="00115208" w:rsidRPr="00115208" w:rsidRDefault="00115208" w:rsidP="00E169CD">
            <w:pPr>
              <w:spacing w:after="0" w:line="240" w:lineRule="auto"/>
              <w:rPr>
                <w:rFonts w:ascii="Arial Narrow" w:hAnsi="Arial Narrow"/>
                <w:szCs w:val="18"/>
                <w:lang w:val="fr-FR"/>
              </w:rPr>
            </w:pPr>
            <w:r w:rsidRPr="00115208">
              <w:rPr>
                <w:rFonts w:ascii="Arial Narrow" w:hAnsi="Arial Narrow"/>
                <w:szCs w:val="18"/>
                <w:lang w:val="fr-FR"/>
              </w:rPr>
              <w:t>65,81 millions de dollars</w:t>
            </w:r>
          </w:p>
        </w:tc>
      </w:tr>
      <w:tr w:rsidR="00115208" w:rsidRPr="00115208" w:rsidTr="00115208">
        <w:trPr>
          <w:trHeight w:val="620"/>
          <w:jc w:val="center"/>
        </w:trPr>
        <w:tc>
          <w:tcPr>
            <w:tcW w:w="2020" w:type="dxa"/>
          </w:tcPr>
          <w:p w:rsidR="00115208" w:rsidRPr="00115208" w:rsidRDefault="00115208" w:rsidP="00E169CD">
            <w:pPr>
              <w:spacing w:after="0" w:line="240" w:lineRule="auto"/>
              <w:rPr>
                <w:rFonts w:ascii="Arial Narrow" w:hAnsi="Arial Narrow"/>
                <w:b/>
                <w:szCs w:val="18"/>
                <w:lang w:val="fr-FR"/>
              </w:rPr>
            </w:pPr>
            <w:r w:rsidRPr="00115208">
              <w:rPr>
                <w:rFonts w:ascii="Arial Narrow" w:hAnsi="Arial Narrow"/>
                <w:b/>
                <w:szCs w:val="18"/>
                <w:lang w:val="fr-FR"/>
              </w:rPr>
              <w:t>SOURCES DE FINANCEMENT</w:t>
            </w:r>
          </w:p>
        </w:tc>
        <w:tc>
          <w:tcPr>
            <w:tcW w:w="7335" w:type="dxa"/>
          </w:tcPr>
          <w:p w:rsidR="00115208" w:rsidRPr="00115208" w:rsidRDefault="00115208" w:rsidP="00C74A6C">
            <w:pPr>
              <w:spacing w:after="0" w:line="240" w:lineRule="auto"/>
              <w:rPr>
                <w:rFonts w:ascii="Arial Narrow" w:hAnsi="Arial Narrow"/>
                <w:szCs w:val="18"/>
                <w:lang w:val="fr-FR"/>
              </w:rPr>
            </w:pPr>
            <w:r w:rsidRPr="00115208">
              <w:rPr>
                <w:rFonts w:ascii="Arial Narrow" w:hAnsi="Arial Narrow"/>
                <w:szCs w:val="18"/>
                <w:lang w:val="fr-FR"/>
              </w:rPr>
              <w:t>FRH (1m), GOH (19,37m), USAID (9,70m), Canada (8,95m), Union Européenne (6,73m), Japon (4,47m), Brésil (1m), Trinidad et Tobago (1m), Ressources à mobiliser (14,54m)</w:t>
            </w:r>
          </w:p>
        </w:tc>
      </w:tr>
      <w:tr w:rsidR="00115208" w:rsidRPr="00115208" w:rsidTr="00115208">
        <w:trPr>
          <w:trHeight w:val="647"/>
          <w:jc w:val="center"/>
        </w:trPr>
        <w:tc>
          <w:tcPr>
            <w:tcW w:w="2020" w:type="dxa"/>
          </w:tcPr>
          <w:p w:rsidR="00115208" w:rsidRPr="00115208" w:rsidRDefault="00115208" w:rsidP="00E169CD">
            <w:pPr>
              <w:spacing w:after="0" w:line="240" w:lineRule="auto"/>
              <w:rPr>
                <w:rFonts w:ascii="Arial Narrow" w:hAnsi="Arial Narrow"/>
                <w:b/>
                <w:szCs w:val="18"/>
                <w:lang w:val="fr-FR"/>
              </w:rPr>
            </w:pPr>
            <w:r w:rsidRPr="00115208">
              <w:rPr>
                <w:rFonts w:ascii="Arial Narrow" w:hAnsi="Arial Narrow"/>
                <w:b/>
                <w:szCs w:val="18"/>
                <w:lang w:val="fr-FR"/>
              </w:rPr>
              <w:t>DECAISSEMENT AUX BENEFICIAIRES FINAUX</w:t>
            </w:r>
          </w:p>
        </w:tc>
        <w:tc>
          <w:tcPr>
            <w:tcW w:w="7335" w:type="dxa"/>
          </w:tcPr>
          <w:p w:rsidR="00115208" w:rsidRPr="00115208" w:rsidRDefault="00115208" w:rsidP="00E169CD">
            <w:pPr>
              <w:spacing w:after="0" w:line="240" w:lineRule="auto"/>
              <w:rPr>
                <w:rFonts w:ascii="Arial Narrow" w:hAnsi="Arial Narrow"/>
                <w:szCs w:val="18"/>
                <w:lang w:val="fr-FR"/>
              </w:rPr>
            </w:pPr>
            <w:r w:rsidRPr="00115208">
              <w:rPr>
                <w:rFonts w:ascii="Arial Narrow" w:hAnsi="Arial Narrow"/>
                <w:szCs w:val="18"/>
                <w:lang w:val="fr-FR"/>
              </w:rPr>
              <w:t>1 million de dollars</w:t>
            </w:r>
          </w:p>
        </w:tc>
      </w:tr>
      <w:tr w:rsidR="00115208" w:rsidRPr="00115208" w:rsidTr="00115208">
        <w:trPr>
          <w:trHeight w:val="413"/>
          <w:jc w:val="center"/>
        </w:trPr>
        <w:tc>
          <w:tcPr>
            <w:tcW w:w="2020" w:type="dxa"/>
          </w:tcPr>
          <w:p w:rsidR="00115208" w:rsidRPr="00115208" w:rsidRDefault="00115208" w:rsidP="00E169CD">
            <w:pPr>
              <w:spacing w:after="0" w:line="240" w:lineRule="auto"/>
              <w:rPr>
                <w:rFonts w:ascii="Arial Narrow" w:hAnsi="Arial Narrow"/>
                <w:b/>
                <w:szCs w:val="18"/>
                <w:lang w:val="fr-FR"/>
              </w:rPr>
            </w:pPr>
            <w:r w:rsidRPr="00115208">
              <w:rPr>
                <w:rFonts w:ascii="Arial Narrow" w:hAnsi="Arial Narrow"/>
                <w:b/>
                <w:szCs w:val="18"/>
                <w:lang w:val="fr-FR"/>
              </w:rPr>
              <w:t>DATE D’APPROBATION</w:t>
            </w:r>
          </w:p>
        </w:tc>
        <w:tc>
          <w:tcPr>
            <w:tcW w:w="7335" w:type="dxa"/>
          </w:tcPr>
          <w:p w:rsidR="00115208" w:rsidRPr="00115208" w:rsidRDefault="00115208" w:rsidP="00E169CD">
            <w:pPr>
              <w:spacing w:after="0" w:line="240" w:lineRule="auto"/>
              <w:rPr>
                <w:rFonts w:ascii="Arial Narrow" w:hAnsi="Arial Narrow"/>
                <w:szCs w:val="18"/>
                <w:lang w:val="fr-FR"/>
              </w:rPr>
            </w:pPr>
            <w:r w:rsidRPr="00115208">
              <w:rPr>
                <w:rFonts w:ascii="Arial Narrow" w:hAnsi="Arial Narrow"/>
                <w:szCs w:val="18"/>
                <w:lang w:val="fr-FR"/>
              </w:rPr>
              <w:t>25 Novembre 2015</w:t>
            </w:r>
          </w:p>
        </w:tc>
      </w:tr>
      <w:tr w:rsidR="00115208" w:rsidRPr="00115208" w:rsidTr="00115208">
        <w:trPr>
          <w:trHeight w:val="557"/>
          <w:jc w:val="center"/>
        </w:trPr>
        <w:tc>
          <w:tcPr>
            <w:tcW w:w="2020" w:type="dxa"/>
          </w:tcPr>
          <w:p w:rsidR="00115208" w:rsidRPr="00115208" w:rsidRDefault="00115208" w:rsidP="00E169CD">
            <w:pPr>
              <w:spacing w:after="0" w:line="240" w:lineRule="auto"/>
              <w:rPr>
                <w:rFonts w:ascii="Arial Narrow" w:hAnsi="Arial Narrow"/>
                <w:b/>
                <w:szCs w:val="18"/>
                <w:lang w:val="fr-FR"/>
              </w:rPr>
            </w:pPr>
            <w:r w:rsidRPr="00115208">
              <w:rPr>
                <w:rFonts w:ascii="Arial Narrow" w:hAnsi="Arial Narrow"/>
                <w:b/>
                <w:szCs w:val="18"/>
                <w:lang w:val="fr-FR"/>
              </w:rPr>
              <w:t>SECTEUR</w:t>
            </w:r>
          </w:p>
        </w:tc>
        <w:tc>
          <w:tcPr>
            <w:tcW w:w="7335" w:type="dxa"/>
          </w:tcPr>
          <w:p w:rsidR="00115208" w:rsidRPr="00115208" w:rsidRDefault="00115208" w:rsidP="006C2A7D">
            <w:pPr>
              <w:spacing w:after="0" w:line="240" w:lineRule="auto"/>
              <w:rPr>
                <w:rFonts w:ascii="Arial Narrow" w:hAnsi="Arial Narrow"/>
                <w:szCs w:val="18"/>
                <w:lang w:val="fr-FR"/>
              </w:rPr>
            </w:pPr>
            <w:r w:rsidRPr="00115208">
              <w:rPr>
                <w:rFonts w:ascii="Arial Narrow" w:hAnsi="Arial Narrow"/>
                <w:szCs w:val="18"/>
                <w:lang w:val="fr-FR"/>
              </w:rPr>
              <w:t>Renforcer les institutions démocratiques nationales</w:t>
            </w:r>
          </w:p>
        </w:tc>
      </w:tr>
      <w:tr w:rsidR="00115208" w:rsidRPr="00115208" w:rsidTr="00115208">
        <w:trPr>
          <w:trHeight w:val="305"/>
          <w:jc w:val="center"/>
        </w:trPr>
        <w:tc>
          <w:tcPr>
            <w:tcW w:w="2020" w:type="dxa"/>
          </w:tcPr>
          <w:p w:rsidR="00115208" w:rsidRPr="00115208" w:rsidRDefault="00115208" w:rsidP="00E169CD">
            <w:pPr>
              <w:spacing w:after="0" w:line="240" w:lineRule="auto"/>
              <w:rPr>
                <w:rFonts w:ascii="Arial Narrow" w:hAnsi="Arial Narrow"/>
                <w:b/>
                <w:szCs w:val="18"/>
                <w:lang w:val="fr-FR"/>
              </w:rPr>
            </w:pPr>
            <w:r w:rsidRPr="00115208">
              <w:rPr>
                <w:rFonts w:ascii="Arial Narrow" w:hAnsi="Arial Narrow"/>
                <w:b/>
                <w:szCs w:val="18"/>
                <w:lang w:val="fr-FR"/>
              </w:rPr>
              <w:t>ENTITE PARTENAIRE</w:t>
            </w:r>
          </w:p>
        </w:tc>
        <w:tc>
          <w:tcPr>
            <w:tcW w:w="7335" w:type="dxa"/>
          </w:tcPr>
          <w:p w:rsidR="00115208" w:rsidRPr="00115208" w:rsidRDefault="00115208" w:rsidP="00E169CD">
            <w:pPr>
              <w:spacing w:after="0" w:line="240" w:lineRule="auto"/>
              <w:rPr>
                <w:rFonts w:ascii="Arial Narrow" w:hAnsi="Arial Narrow"/>
                <w:szCs w:val="18"/>
                <w:lang w:val="fr-FR"/>
              </w:rPr>
            </w:pPr>
            <w:r w:rsidRPr="00115208">
              <w:rPr>
                <w:rFonts w:ascii="Arial Narrow" w:hAnsi="Arial Narrow"/>
                <w:szCs w:val="18"/>
                <w:lang w:val="fr-FR"/>
              </w:rPr>
              <w:t>ONU</w:t>
            </w:r>
          </w:p>
        </w:tc>
      </w:tr>
      <w:tr w:rsidR="00115208" w:rsidRPr="00115208" w:rsidTr="00115208">
        <w:trPr>
          <w:trHeight w:val="728"/>
          <w:jc w:val="center"/>
        </w:trPr>
        <w:tc>
          <w:tcPr>
            <w:tcW w:w="2020" w:type="dxa"/>
          </w:tcPr>
          <w:p w:rsidR="00115208" w:rsidRPr="00115208" w:rsidRDefault="00115208" w:rsidP="00E169CD">
            <w:pPr>
              <w:spacing w:after="0" w:line="240" w:lineRule="auto"/>
              <w:rPr>
                <w:rFonts w:ascii="Arial Narrow" w:hAnsi="Arial Narrow"/>
                <w:b/>
                <w:szCs w:val="18"/>
                <w:lang w:val="fr-FR"/>
              </w:rPr>
            </w:pPr>
            <w:r w:rsidRPr="00115208">
              <w:rPr>
                <w:rFonts w:ascii="Arial Narrow" w:hAnsi="Arial Narrow"/>
                <w:b/>
                <w:szCs w:val="18"/>
                <w:lang w:val="fr-FR"/>
              </w:rPr>
              <w:t>AGENCE D’EXECUTION</w:t>
            </w:r>
          </w:p>
        </w:tc>
        <w:tc>
          <w:tcPr>
            <w:tcW w:w="7335" w:type="dxa"/>
          </w:tcPr>
          <w:p w:rsidR="00115208" w:rsidRPr="00115208" w:rsidRDefault="00115208" w:rsidP="00E169CD">
            <w:pPr>
              <w:spacing w:after="0" w:line="240" w:lineRule="auto"/>
              <w:rPr>
                <w:rFonts w:ascii="Arial Narrow" w:hAnsi="Arial Narrow"/>
                <w:szCs w:val="18"/>
                <w:lang w:val="fr-FR"/>
              </w:rPr>
            </w:pPr>
            <w:r w:rsidRPr="00115208">
              <w:rPr>
                <w:rFonts w:ascii="Arial Narrow" w:hAnsi="Arial Narrow"/>
                <w:szCs w:val="18"/>
                <w:lang w:val="fr-FR"/>
              </w:rPr>
              <w:t>Ministère de la Planification et de la Coopération Externe (MPCE), Programme des Nations Unies pour le développement (PNUD), Conseil Electoral (CEP), Office National d’Identification (ONI), Archives Nationales (ANH), Mission des Nations Unies pour la stabilisation d’Haïti (MINUSTAH)</w:t>
            </w:r>
          </w:p>
        </w:tc>
      </w:tr>
      <w:tr w:rsidR="00115208" w:rsidRPr="00115208" w:rsidTr="00115208">
        <w:trPr>
          <w:trHeight w:val="242"/>
          <w:jc w:val="center"/>
        </w:trPr>
        <w:tc>
          <w:tcPr>
            <w:tcW w:w="9355" w:type="dxa"/>
            <w:gridSpan w:val="2"/>
          </w:tcPr>
          <w:p w:rsidR="00115208" w:rsidRPr="00115208" w:rsidRDefault="00115208" w:rsidP="00E169CD">
            <w:pPr>
              <w:spacing w:after="0" w:line="240" w:lineRule="auto"/>
              <w:rPr>
                <w:rFonts w:ascii="Arial Narrow" w:hAnsi="Arial Narrow"/>
                <w:b/>
                <w:szCs w:val="18"/>
                <w:lang w:val="fr-FR"/>
              </w:rPr>
            </w:pPr>
            <w:r w:rsidRPr="00115208">
              <w:rPr>
                <w:rFonts w:ascii="Arial Narrow" w:hAnsi="Arial Narrow"/>
                <w:b/>
                <w:szCs w:val="18"/>
                <w:lang w:val="fr-FR"/>
              </w:rPr>
              <w:t xml:space="preserve"> </w:t>
            </w:r>
            <w:r w:rsidRPr="00115208">
              <w:rPr>
                <w:rFonts w:ascii="Arial Narrow" w:hAnsi="Arial Narrow"/>
                <w:b/>
                <w:szCs w:val="18"/>
                <w:lang w:val="fr-FR"/>
              </w:rPr>
              <w:t>DESCRIPTION DU PROGRAMME</w:t>
            </w:r>
          </w:p>
        </w:tc>
      </w:tr>
      <w:tr w:rsidR="00115208" w:rsidRPr="00115208" w:rsidTr="00115208">
        <w:trPr>
          <w:trHeight w:val="5732"/>
          <w:jc w:val="center"/>
        </w:trPr>
        <w:tc>
          <w:tcPr>
            <w:tcW w:w="9355" w:type="dxa"/>
            <w:gridSpan w:val="2"/>
            <w:tcBorders>
              <w:bottom w:val="single" w:sz="4" w:space="0" w:color="auto"/>
            </w:tcBorders>
          </w:tcPr>
          <w:p w:rsidR="00115208" w:rsidRPr="00115208" w:rsidRDefault="00115208" w:rsidP="00FB1CAB">
            <w:pPr>
              <w:spacing w:after="0" w:line="240" w:lineRule="auto"/>
              <w:jc w:val="both"/>
              <w:rPr>
                <w:rFonts w:ascii="Arial Narrow" w:eastAsia="Arial Unicode MS" w:hAnsi="Arial Narrow" w:cs="Times New Roman"/>
                <w:bCs/>
                <w:szCs w:val="18"/>
                <w:lang w:val="fr-FR"/>
              </w:rPr>
            </w:pPr>
            <w:r w:rsidRPr="00115208">
              <w:rPr>
                <w:rFonts w:ascii="Arial Narrow" w:hAnsi="Arial Narrow"/>
                <w:b/>
                <w:szCs w:val="18"/>
                <w:u w:val="single"/>
                <w:lang w:val="fr-FR"/>
              </w:rPr>
              <w:t>Objectif</w:t>
            </w:r>
            <w:r w:rsidRPr="00115208">
              <w:rPr>
                <w:rFonts w:ascii="Arial Narrow" w:hAnsi="Arial Narrow"/>
                <w:szCs w:val="18"/>
                <w:lang w:val="fr-FR"/>
              </w:rPr>
              <w:t>: L’objectif global du projet vise à contribuer au renforcement des capacités des institutions liées au contexte Électoral en Haïti.  Parmi ces institutions, le Conseil Électoral (CE</w:t>
            </w:r>
            <w:bookmarkStart w:id="0" w:name="_GoBack"/>
            <w:bookmarkEnd w:id="0"/>
            <w:r w:rsidRPr="00115208">
              <w:rPr>
                <w:rFonts w:ascii="Arial Narrow" w:hAnsi="Arial Narrow"/>
                <w:szCs w:val="18"/>
                <w:lang w:val="fr-FR"/>
              </w:rPr>
              <w:t>P) a un rôle capital en vue d’assurer l’organisation des élections présidentielles, législatives, municipales et locales pour que celles-ci se déroulent conformément au calendrier électoral annoncé par le CEP le 12 mars 2015 et de façon libre, transparente, crédible et inclusive</w:t>
            </w:r>
          </w:p>
          <w:p w:rsidR="00115208" w:rsidRPr="00115208" w:rsidRDefault="00115208" w:rsidP="00FB1CAB">
            <w:pPr>
              <w:spacing w:after="0" w:line="240" w:lineRule="auto"/>
              <w:jc w:val="both"/>
              <w:rPr>
                <w:rFonts w:ascii="Arial Narrow" w:eastAsia="Arial Unicode MS" w:hAnsi="Arial Narrow" w:cs="Times New Roman"/>
                <w:bCs/>
                <w:szCs w:val="18"/>
                <w:lang w:val="fr-FR"/>
              </w:rPr>
            </w:pPr>
          </w:p>
          <w:p w:rsidR="00115208" w:rsidRPr="00115208" w:rsidRDefault="00115208" w:rsidP="00FB1CAB">
            <w:pPr>
              <w:spacing w:after="0" w:line="240" w:lineRule="auto"/>
              <w:jc w:val="both"/>
              <w:rPr>
                <w:rFonts w:ascii="Arial Narrow" w:eastAsia="Arial Unicode MS" w:hAnsi="Arial Narrow" w:cs="Times New Roman"/>
                <w:bCs/>
                <w:szCs w:val="18"/>
                <w:lang w:val="fr-FR"/>
              </w:rPr>
            </w:pPr>
            <w:r w:rsidRPr="00115208">
              <w:rPr>
                <w:rFonts w:ascii="Arial Narrow" w:eastAsia="Arial Unicode MS" w:hAnsi="Arial Narrow" w:cs="Times New Roman"/>
                <w:bCs/>
                <w:szCs w:val="18"/>
                <w:lang w:val="fr-FR"/>
              </w:rPr>
              <w:t xml:space="preserve"> Les objectifs spécifiques sont :</w:t>
            </w:r>
          </w:p>
          <w:p w:rsidR="00115208" w:rsidRPr="00115208" w:rsidRDefault="00115208" w:rsidP="00FB1CAB">
            <w:pPr>
              <w:spacing w:after="0" w:line="240" w:lineRule="auto"/>
              <w:jc w:val="both"/>
              <w:rPr>
                <w:rFonts w:ascii="Arial Narrow" w:eastAsia="Arial Unicode MS" w:hAnsi="Arial Narrow" w:cs="Times New Roman"/>
                <w:bCs/>
                <w:szCs w:val="18"/>
                <w:lang w:val="fr-FR"/>
              </w:rPr>
            </w:pPr>
          </w:p>
          <w:p w:rsidR="00115208" w:rsidRPr="00115208" w:rsidRDefault="00115208" w:rsidP="00FB1CAB">
            <w:pPr>
              <w:pStyle w:val="ListParagraph"/>
              <w:numPr>
                <w:ilvl w:val="0"/>
                <w:numId w:val="7"/>
              </w:numPr>
              <w:spacing w:after="0"/>
              <w:jc w:val="both"/>
              <w:rPr>
                <w:rFonts w:ascii="Arial Narrow" w:hAnsi="Arial Narrow"/>
                <w:szCs w:val="18"/>
                <w:lang w:val="fr-FR"/>
              </w:rPr>
            </w:pPr>
            <w:r w:rsidRPr="00115208">
              <w:rPr>
                <w:rFonts w:ascii="Arial Narrow" w:hAnsi="Arial Narrow"/>
                <w:szCs w:val="18"/>
                <w:lang w:val="fr-FR"/>
              </w:rPr>
              <w:t>Le renforcement des capacités du CEP grâce à une assistance technique quotidienne aux différents départements et comités techniques du CEP (achats, budget, communication et sensibilisation, contentieux et doléances, centre de tabulation des votes, opérations et loi électorales, logistique), la production de manuels de procédures, et l’organisation de modules de formation à destination des membres du Conseil, des Bureaux Électoraux Départementaux (BED) et des Bureaux Électoraux Communaux (BEC) ;</w:t>
            </w:r>
          </w:p>
          <w:p w:rsidR="00115208" w:rsidRPr="00115208" w:rsidRDefault="00115208" w:rsidP="00FB1CAB">
            <w:pPr>
              <w:pStyle w:val="ListParagraph"/>
              <w:numPr>
                <w:ilvl w:val="0"/>
                <w:numId w:val="7"/>
              </w:numPr>
              <w:spacing w:after="0"/>
              <w:jc w:val="both"/>
              <w:rPr>
                <w:rFonts w:ascii="Arial Narrow" w:hAnsi="Arial Narrow"/>
                <w:szCs w:val="18"/>
                <w:lang w:val="fr-FR"/>
              </w:rPr>
            </w:pPr>
            <w:r w:rsidRPr="00115208">
              <w:rPr>
                <w:rFonts w:ascii="Arial Narrow" w:hAnsi="Arial Narrow"/>
                <w:szCs w:val="18"/>
                <w:lang w:val="fr-FR"/>
              </w:rPr>
              <w:t>Un appui à l’Office National d’Identification (ONI) à travers l’Organisation des États Américains (OEA) en vue d’assurer un enregistrement inclusif des électeurs et des électrices ;</w:t>
            </w:r>
          </w:p>
          <w:p w:rsidR="00115208" w:rsidRPr="00115208" w:rsidRDefault="00115208" w:rsidP="00FB1CAB">
            <w:pPr>
              <w:pStyle w:val="ListParagraph"/>
              <w:numPr>
                <w:ilvl w:val="0"/>
                <w:numId w:val="7"/>
              </w:numPr>
              <w:spacing w:after="0"/>
              <w:jc w:val="both"/>
              <w:rPr>
                <w:rFonts w:ascii="Arial Narrow" w:hAnsi="Arial Narrow"/>
                <w:szCs w:val="18"/>
                <w:lang w:val="fr-FR"/>
              </w:rPr>
            </w:pPr>
            <w:r w:rsidRPr="00115208">
              <w:rPr>
                <w:rFonts w:ascii="Arial Narrow" w:hAnsi="Arial Narrow"/>
                <w:szCs w:val="18"/>
                <w:lang w:val="fr-FR"/>
              </w:rPr>
              <w:t xml:space="preserve">L’appui aux différentes opérations électorales (telles que l’acquisition du matériel, la fourniture d’outils technologiques pour l’enregistrement des candidatures, une assistance à la transmission des résultats, la formation et le paiement du personnel temporaire); </w:t>
            </w:r>
          </w:p>
          <w:p w:rsidR="00115208" w:rsidRPr="00115208" w:rsidRDefault="00115208" w:rsidP="00FB1CAB">
            <w:pPr>
              <w:pStyle w:val="ListParagraph"/>
              <w:numPr>
                <w:ilvl w:val="0"/>
                <w:numId w:val="7"/>
              </w:numPr>
              <w:spacing w:after="0"/>
              <w:jc w:val="both"/>
              <w:rPr>
                <w:rFonts w:ascii="Arial Narrow" w:hAnsi="Arial Narrow"/>
                <w:szCs w:val="18"/>
                <w:lang w:val="fr-FR"/>
              </w:rPr>
            </w:pPr>
            <w:r w:rsidRPr="00115208">
              <w:rPr>
                <w:rFonts w:ascii="Arial Narrow" w:hAnsi="Arial Narrow"/>
                <w:szCs w:val="18"/>
                <w:lang w:val="fr-FR"/>
              </w:rPr>
              <w:t xml:space="preserve">Une assistance technique ciblée aux Archives Nationales d’Haïti (ANH) et à l’ONI en vue de favoriser la cohérence et la fiabilité du registre d’état civil d’où est extraite la liste électorale générale (LEG) ; </w:t>
            </w:r>
          </w:p>
          <w:p w:rsidR="00115208" w:rsidRPr="00115208" w:rsidRDefault="00115208" w:rsidP="00FB1CAB">
            <w:pPr>
              <w:pStyle w:val="ListParagraph"/>
              <w:numPr>
                <w:ilvl w:val="0"/>
                <w:numId w:val="5"/>
              </w:numPr>
              <w:spacing w:after="0" w:line="240" w:lineRule="auto"/>
              <w:jc w:val="both"/>
              <w:rPr>
                <w:rFonts w:ascii="Arial Narrow" w:hAnsi="Arial Narrow"/>
                <w:szCs w:val="18"/>
                <w:lang w:val="fr-FR"/>
              </w:rPr>
            </w:pPr>
            <w:r w:rsidRPr="00115208">
              <w:rPr>
                <w:rFonts w:ascii="Arial Narrow" w:hAnsi="Arial Narrow"/>
                <w:szCs w:val="18"/>
                <w:lang w:val="fr-FR"/>
              </w:rPr>
              <w:t>L’appui d’activités en vue de favoriser la participation des jeunes, des femmes et des autres groupes vulnérables (dont les handicapées et les personnes âgées) notamment grâce à l’action de Volontaires des Nations unies sur le terrain.</w:t>
            </w:r>
          </w:p>
        </w:tc>
      </w:tr>
    </w:tbl>
    <w:p w:rsidR="00BD23D5" w:rsidRPr="00CA41F3" w:rsidRDefault="00BD23D5">
      <w:pPr>
        <w:rPr>
          <w:lang w:val="fr-FR"/>
        </w:rPr>
      </w:pPr>
    </w:p>
    <w:sectPr w:rsidR="00BD23D5" w:rsidRPr="00CA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07D"/>
    <w:multiLevelType w:val="hybridMultilevel"/>
    <w:tmpl w:val="609E1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C56079"/>
    <w:multiLevelType w:val="hybridMultilevel"/>
    <w:tmpl w:val="CD0E337E"/>
    <w:lvl w:ilvl="0" w:tplc="28386476">
      <w:start w:val="1"/>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8F50DB"/>
    <w:multiLevelType w:val="hybridMultilevel"/>
    <w:tmpl w:val="55868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D531F2"/>
    <w:multiLevelType w:val="hybridMultilevel"/>
    <w:tmpl w:val="16CA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E7AF1"/>
    <w:multiLevelType w:val="hybridMultilevel"/>
    <w:tmpl w:val="15F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C1C0C"/>
    <w:multiLevelType w:val="hybridMultilevel"/>
    <w:tmpl w:val="56BCDA86"/>
    <w:lvl w:ilvl="0" w:tplc="7C2071EC">
      <w:start w:val="1"/>
      <w:numFmt w:val="lowerRoman"/>
      <w:lvlText w:val="%1."/>
      <w:lvlJc w:val="right"/>
      <w:pPr>
        <w:ind w:left="720" w:hanging="360"/>
      </w:pPr>
    </w:lvl>
    <w:lvl w:ilvl="1" w:tplc="0409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FE1601"/>
    <w:multiLevelType w:val="hybridMultilevel"/>
    <w:tmpl w:val="E0D4B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F3"/>
    <w:rsid w:val="00010858"/>
    <w:rsid w:val="000414A0"/>
    <w:rsid w:val="00055C5C"/>
    <w:rsid w:val="0007620E"/>
    <w:rsid w:val="00082B17"/>
    <w:rsid w:val="0008495C"/>
    <w:rsid w:val="00085CCD"/>
    <w:rsid w:val="000920B5"/>
    <w:rsid w:val="000941F7"/>
    <w:rsid w:val="00094BCB"/>
    <w:rsid w:val="00097344"/>
    <w:rsid w:val="000A3D60"/>
    <w:rsid w:val="000B7242"/>
    <w:rsid w:val="000C0949"/>
    <w:rsid w:val="000C42CB"/>
    <w:rsid w:val="000C7FC4"/>
    <w:rsid w:val="000D4E1E"/>
    <w:rsid w:val="000D57A0"/>
    <w:rsid w:val="000D5851"/>
    <w:rsid w:val="000E4933"/>
    <w:rsid w:val="00113D9F"/>
    <w:rsid w:val="00115208"/>
    <w:rsid w:val="00115C3F"/>
    <w:rsid w:val="00127502"/>
    <w:rsid w:val="001278D9"/>
    <w:rsid w:val="001301FF"/>
    <w:rsid w:val="0013104F"/>
    <w:rsid w:val="00146E4F"/>
    <w:rsid w:val="001558EB"/>
    <w:rsid w:val="00161250"/>
    <w:rsid w:val="00172FFE"/>
    <w:rsid w:val="00190C5E"/>
    <w:rsid w:val="001C40E7"/>
    <w:rsid w:val="001C730D"/>
    <w:rsid w:val="001C79A6"/>
    <w:rsid w:val="001D3ACA"/>
    <w:rsid w:val="001F41F1"/>
    <w:rsid w:val="00203995"/>
    <w:rsid w:val="0025243B"/>
    <w:rsid w:val="00253BED"/>
    <w:rsid w:val="002565B2"/>
    <w:rsid w:val="0027246F"/>
    <w:rsid w:val="00282C5D"/>
    <w:rsid w:val="00286BDC"/>
    <w:rsid w:val="002C2DA4"/>
    <w:rsid w:val="002C541A"/>
    <w:rsid w:val="002D3BFC"/>
    <w:rsid w:val="002D6A38"/>
    <w:rsid w:val="002E4D1C"/>
    <w:rsid w:val="00311AE0"/>
    <w:rsid w:val="0032675D"/>
    <w:rsid w:val="00340EBB"/>
    <w:rsid w:val="00346D7E"/>
    <w:rsid w:val="00371689"/>
    <w:rsid w:val="00385C40"/>
    <w:rsid w:val="0039306F"/>
    <w:rsid w:val="00395D30"/>
    <w:rsid w:val="003960F8"/>
    <w:rsid w:val="003A1B36"/>
    <w:rsid w:val="003B043C"/>
    <w:rsid w:val="003B1331"/>
    <w:rsid w:val="003C1372"/>
    <w:rsid w:val="003C4B92"/>
    <w:rsid w:val="003D1306"/>
    <w:rsid w:val="004165BF"/>
    <w:rsid w:val="0042040F"/>
    <w:rsid w:val="00430F74"/>
    <w:rsid w:val="004328CD"/>
    <w:rsid w:val="0043330B"/>
    <w:rsid w:val="00450323"/>
    <w:rsid w:val="00467C75"/>
    <w:rsid w:val="00475D72"/>
    <w:rsid w:val="00475EBB"/>
    <w:rsid w:val="0048656F"/>
    <w:rsid w:val="00493E68"/>
    <w:rsid w:val="004A4ECD"/>
    <w:rsid w:val="004E61CC"/>
    <w:rsid w:val="00513610"/>
    <w:rsid w:val="00522EE8"/>
    <w:rsid w:val="0053249D"/>
    <w:rsid w:val="00536431"/>
    <w:rsid w:val="0053663C"/>
    <w:rsid w:val="0053713D"/>
    <w:rsid w:val="00585F53"/>
    <w:rsid w:val="0059118D"/>
    <w:rsid w:val="005A0947"/>
    <w:rsid w:val="005A4469"/>
    <w:rsid w:val="005E5D7A"/>
    <w:rsid w:val="005F0ADC"/>
    <w:rsid w:val="005F1D83"/>
    <w:rsid w:val="00627F37"/>
    <w:rsid w:val="006367D8"/>
    <w:rsid w:val="006467CC"/>
    <w:rsid w:val="00646BFF"/>
    <w:rsid w:val="00651E16"/>
    <w:rsid w:val="00660DEB"/>
    <w:rsid w:val="006766DF"/>
    <w:rsid w:val="006825FC"/>
    <w:rsid w:val="00683684"/>
    <w:rsid w:val="006973E0"/>
    <w:rsid w:val="006A31DF"/>
    <w:rsid w:val="006A35B4"/>
    <w:rsid w:val="006C2A7D"/>
    <w:rsid w:val="006D04AA"/>
    <w:rsid w:val="006D1148"/>
    <w:rsid w:val="006E4F04"/>
    <w:rsid w:val="006E6000"/>
    <w:rsid w:val="006F5F79"/>
    <w:rsid w:val="00720913"/>
    <w:rsid w:val="00725272"/>
    <w:rsid w:val="007345CE"/>
    <w:rsid w:val="00746478"/>
    <w:rsid w:val="00753243"/>
    <w:rsid w:val="00754FBB"/>
    <w:rsid w:val="00765C0D"/>
    <w:rsid w:val="00770A3F"/>
    <w:rsid w:val="00796508"/>
    <w:rsid w:val="00796EBA"/>
    <w:rsid w:val="007A22F1"/>
    <w:rsid w:val="007B2CAD"/>
    <w:rsid w:val="007B6170"/>
    <w:rsid w:val="007E753C"/>
    <w:rsid w:val="007F28D0"/>
    <w:rsid w:val="00800F98"/>
    <w:rsid w:val="0080256E"/>
    <w:rsid w:val="008121F3"/>
    <w:rsid w:val="0083213D"/>
    <w:rsid w:val="0083438D"/>
    <w:rsid w:val="008427CE"/>
    <w:rsid w:val="00842E45"/>
    <w:rsid w:val="00865C42"/>
    <w:rsid w:val="0088777A"/>
    <w:rsid w:val="00891F3D"/>
    <w:rsid w:val="008B3CD9"/>
    <w:rsid w:val="008C2C4E"/>
    <w:rsid w:val="008C5E89"/>
    <w:rsid w:val="008E3374"/>
    <w:rsid w:val="008F2C10"/>
    <w:rsid w:val="009037C2"/>
    <w:rsid w:val="00923017"/>
    <w:rsid w:val="00923DC4"/>
    <w:rsid w:val="00924C30"/>
    <w:rsid w:val="00952068"/>
    <w:rsid w:val="00956BAD"/>
    <w:rsid w:val="00986C8E"/>
    <w:rsid w:val="009942D0"/>
    <w:rsid w:val="009A65DB"/>
    <w:rsid w:val="009A6FC8"/>
    <w:rsid w:val="009A79EB"/>
    <w:rsid w:val="009B2023"/>
    <w:rsid w:val="009C407A"/>
    <w:rsid w:val="009D2988"/>
    <w:rsid w:val="009D5525"/>
    <w:rsid w:val="009D703A"/>
    <w:rsid w:val="009E4648"/>
    <w:rsid w:val="009F3DA0"/>
    <w:rsid w:val="00A11F07"/>
    <w:rsid w:val="00A14A6A"/>
    <w:rsid w:val="00A21847"/>
    <w:rsid w:val="00A230DA"/>
    <w:rsid w:val="00A24B71"/>
    <w:rsid w:val="00A4724E"/>
    <w:rsid w:val="00A47C3A"/>
    <w:rsid w:val="00A50893"/>
    <w:rsid w:val="00A70776"/>
    <w:rsid w:val="00A7420D"/>
    <w:rsid w:val="00A863CE"/>
    <w:rsid w:val="00A92CAD"/>
    <w:rsid w:val="00A9650C"/>
    <w:rsid w:val="00A977EA"/>
    <w:rsid w:val="00AA3259"/>
    <w:rsid w:val="00AC1ED0"/>
    <w:rsid w:val="00AD199A"/>
    <w:rsid w:val="00AD7155"/>
    <w:rsid w:val="00AF0DD2"/>
    <w:rsid w:val="00AF707B"/>
    <w:rsid w:val="00B16218"/>
    <w:rsid w:val="00B31DE2"/>
    <w:rsid w:val="00B504B1"/>
    <w:rsid w:val="00B82E42"/>
    <w:rsid w:val="00B97D81"/>
    <w:rsid w:val="00BB5365"/>
    <w:rsid w:val="00BC0170"/>
    <w:rsid w:val="00BC0589"/>
    <w:rsid w:val="00BD23D5"/>
    <w:rsid w:val="00BE275C"/>
    <w:rsid w:val="00C0227F"/>
    <w:rsid w:val="00C147E3"/>
    <w:rsid w:val="00C164CA"/>
    <w:rsid w:val="00C216AF"/>
    <w:rsid w:val="00C30C30"/>
    <w:rsid w:val="00C45488"/>
    <w:rsid w:val="00C64F29"/>
    <w:rsid w:val="00C74A6C"/>
    <w:rsid w:val="00C831AF"/>
    <w:rsid w:val="00C95334"/>
    <w:rsid w:val="00CA41F3"/>
    <w:rsid w:val="00CF7627"/>
    <w:rsid w:val="00D0680F"/>
    <w:rsid w:val="00D43FB7"/>
    <w:rsid w:val="00D707BA"/>
    <w:rsid w:val="00D91948"/>
    <w:rsid w:val="00DA3436"/>
    <w:rsid w:val="00DA5E11"/>
    <w:rsid w:val="00DC358E"/>
    <w:rsid w:val="00DD4CFD"/>
    <w:rsid w:val="00DD5443"/>
    <w:rsid w:val="00E01196"/>
    <w:rsid w:val="00E169CD"/>
    <w:rsid w:val="00E17FD4"/>
    <w:rsid w:val="00E32D85"/>
    <w:rsid w:val="00E7797F"/>
    <w:rsid w:val="00E934AD"/>
    <w:rsid w:val="00EA6051"/>
    <w:rsid w:val="00EB7EFA"/>
    <w:rsid w:val="00EC25DB"/>
    <w:rsid w:val="00EE7E27"/>
    <w:rsid w:val="00EF03E4"/>
    <w:rsid w:val="00EF421C"/>
    <w:rsid w:val="00F03077"/>
    <w:rsid w:val="00F06B28"/>
    <w:rsid w:val="00F15446"/>
    <w:rsid w:val="00F37E17"/>
    <w:rsid w:val="00F45C5F"/>
    <w:rsid w:val="00F46E26"/>
    <w:rsid w:val="00F85F50"/>
    <w:rsid w:val="00F91657"/>
    <w:rsid w:val="00FA48D7"/>
    <w:rsid w:val="00FC20B5"/>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F3"/>
    <w:pPr>
      <w:ind w:left="720"/>
      <w:contextualSpacing/>
    </w:pPr>
    <w:rPr>
      <w:rFonts w:eastAsiaTheme="minorEastAsia"/>
    </w:rPr>
  </w:style>
  <w:style w:type="paragraph" w:styleId="BalloonText">
    <w:name w:val="Balloon Text"/>
    <w:basedOn w:val="Normal"/>
    <w:link w:val="BalloonTextChar"/>
    <w:uiPriority w:val="99"/>
    <w:semiHidden/>
    <w:unhideWhenUsed/>
    <w:rsid w:val="006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F3"/>
    <w:pPr>
      <w:ind w:left="720"/>
      <w:contextualSpacing/>
    </w:pPr>
    <w:rPr>
      <w:rFonts w:eastAsiaTheme="minorEastAsia"/>
    </w:rPr>
  </w:style>
  <w:style w:type="paragraph" w:styleId="BalloonText">
    <w:name w:val="Balloon Text"/>
    <w:basedOn w:val="Normal"/>
    <w:link w:val="BalloonTextChar"/>
    <w:uiPriority w:val="99"/>
    <w:semiHidden/>
    <w:unhideWhenUsed/>
    <w:rsid w:val="006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Lamarane Deme</dc:creator>
  <cp:lastModifiedBy>Mamadou Lamarane Deme</cp:lastModifiedBy>
  <cp:revision>2</cp:revision>
  <cp:lastPrinted>2016-02-23T18:01:00Z</cp:lastPrinted>
  <dcterms:created xsi:type="dcterms:W3CDTF">2016-03-02T22:35:00Z</dcterms:created>
  <dcterms:modified xsi:type="dcterms:W3CDTF">2016-03-02T22:35:00Z</dcterms:modified>
</cp:coreProperties>
</file>